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346" w:rsidRDefault="00AC4D53" w:rsidP="00AC4D53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T</w:t>
      </w:r>
      <w:r w:rsidR="00EE7346" w:rsidRPr="00E2364F">
        <w:rPr>
          <w:rFonts w:ascii="Arial" w:hAnsi="Arial" w:cs="Arial"/>
          <w:sz w:val="22"/>
          <w:szCs w:val="22"/>
        </w:rPr>
        <w:t>he Advisory Taskforce on Residential Transition for Ageing Queenslanders</w:t>
      </w:r>
      <w:r>
        <w:rPr>
          <w:rFonts w:ascii="Arial" w:hAnsi="Arial" w:cs="Arial"/>
          <w:sz w:val="22"/>
          <w:szCs w:val="22"/>
        </w:rPr>
        <w:t xml:space="preserve"> </w:t>
      </w:r>
      <w:r w:rsidR="002F50C3">
        <w:rPr>
          <w:rFonts w:ascii="Arial" w:hAnsi="Arial" w:cs="Arial"/>
          <w:sz w:val="22"/>
          <w:szCs w:val="22"/>
        </w:rPr>
        <w:t>has finalised</w:t>
      </w:r>
      <w:r>
        <w:rPr>
          <w:rFonts w:ascii="Arial" w:hAnsi="Arial" w:cs="Arial"/>
          <w:sz w:val="22"/>
          <w:szCs w:val="22"/>
        </w:rPr>
        <w:t xml:space="preserve"> </w:t>
      </w:r>
      <w:r w:rsidR="002F50C3">
        <w:rPr>
          <w:rFonts w:ascii="Arial" w:hAnsi="Arial" w:cs="Arial"/>
          <w:sz w:val="22"/>
          <w:szCs w:val="22"/>
        </w:rPr>
        <w:t>its</w:t>
      </w:r>
      <w:r>
        <w:rPr>
          <w:rFonts w:ascii="Arial" w:hAnsi="Arial" w:cs="Arial"/>
          <w:sz w:val="22"/>
          <w:szCs w:val="22"/>
        </w:rPr>
        <w:t xml:space="preserve"> report</w:t>
      </w:r>
      <w:r w:rsidR="00FE26F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AC4D53">
        <w:rPr>
          <w:rFonts w:ascii="Arial" w:hAnsi="Arial" w:cs="Arial"/>
          <w:i/>
          <w:sz w:val="22"/>
          <w:szCs w:val="22"/>
        </w:rPr>
        <w:t>Residential Transition for Older Queenslanders</w:t>
      </w:r>
      <w:r w:rsidRPr="00A852B3">
        <w:rPr>
          <w:rFonts w:ascii="Arial" w:hAnsi="Arial" w:cs="Arial"/>
          <w:i/>
          <w:sz w:val="22"/>
          <w:szCs w:val="22"/>
        </w:rPr>
        <w:t xml:space="preserve"> August 2016</w:t>
      </w:r>
      <w:r w:rsidR="00EE7346" w:rsidRPr="00F32DA4">
        <w:rPr>
          <w:rFonts w:ascii="Arial" w:hAnsi="Arial" w:cs="Arial"/>
          <w:sz w:val="22"/>
          <w:szCs w:val="22"/>
        </w:rPr>
        <w:t>, into emerging issues in meeting the housing and related needs of older people</w:t>
      </w:r>
      <w:r w:rsidR="00EE7346">
        <w:rPr>
          <w:rFonts w:ascii="Arial" w:hAnsi="Arial" w:cs="Arial"/>
          <w:sz w:val="22"/>
          <w:szCs w:val="22"/>
        </w:rPr>
        <w:t>. Th</w:t>
      </w:r>
      <w:r>
        <w:rPr>
          <w:rFonts w:ascii="Arial" w:hAnsi="Arial" w:cs="Arial"/>
          <w:sz w:val="22"/>
          <w:szCs w:val="22"/>
        </w:rPr>
        <w:t xml:space="preserve">e </w:t>
      </w:r>
      <w:r w:rsidRPr="00AC4D53">
        <w:rPr>
          <w:rFonts w:ascii="Arial" w:hAnsi="Arial" w:cs="Arial"/>
          <w:sz w:val="22"/>
          <w:szCs w:val="22"/>
        </w:rPr>
        <w:t>Queensland Government</w:t>
      </w:r>
      <w:r w:rsidR="00EE7346">
        <w:rPr>
          <w:rFonts w:ascii="Arial" w:hAnsi="Arial" w:cs="Arial"/>
          <w:sz w:val="22"/>
          <w:szCs w:val="22"/>
        </w:rPr>
        <w:t xml:space="preserve"> </w:t>
      </w:r>
      <w:r w:rsidRPr="00AC4D53">
        <w:rPr>
          <w:rFonts w:ascii="Arial" w:hAnsi="Arial" w:cs="Arial"/>
          <w:sz w:val="22"/>
          <w:szCs w:val="22"/>
        </w:rPr>
        <w:t xml:space="preserve">established </w:t>
      </w:r>
      <w:r>
        <w:rPr>
          <w:rFonts w:ascii="Arial" w:hAnsi="Arial" w:cs="Arial"/>
          <w:sz w:val="22"/>
          <w:szCs w:val="22"/>
        </w:rPr>
        <w:t xml:space="preserve">the </w:t>
      </w:r>
      <w:r w:rsidR="00EE7346">
        <w:rPr>
          <w:rFonts w:ascii="Arial" w:hAnsi="Arial" w:cs="Arial"/>
          <w:sz w:val="22"/>
          <w:szCs w:val="22"/>
        </w:rPr>
        <w:t>Taskforce to provide advice and recommendations for enabling</w:t>
      </w:r>
      <w:r w:rsidR="00EE7346" w:rsidRPr="00F32DA4">
        <w:rPr>
          <w:rFonts w:ascii="Arial" w:hAnsi="Arial" w:cs="Arial"/>
          <w:sz w:val="22"/>
          <w:szCs w:val="22"/>
        </w:rPr>
        <w:t xml:space="preserve"> older Queenslanders </w:t>
      </w:r>
      <w:r w:rsidR="00EE7346">
        <w:rPr>
          <w:rFonts w:ascii="Arial" w:hAnsi="Arial" w:cs="Arial"/>
          <w:sz w:val="22"/>
          <w:szCs w:val="22"/>
        </w:rPr>
        <w:t>to</w:t>
      </w:r>
      <w:r w:rsidR="00EE7346" w:rsidRPr="00F32DA4">
        <w:rPr>
          <w:rFonts w:ascii="Arial" w:hAnsi="Arial" w:cs="Arial"/>
          <w:sz w:val="22"/>
          <w:szCs w:val="22"/>
        </w:rPr>
        <w:t xml:space="preserve"> retain their independence into their senior years and </w:t>
      </w:r>
      <w:r w:rsidR="00FE26F0">
        <w:rPr>
          <w:rFonts w:ascii="Arial" w:hAnsi="Arial" w:cs="Arial"/>
          <w:sz w:val="22"/>
          <w:szCs w:val="22"/>
        </w:rPr>
        <w:t xml:space="preserve">to </w:t>
      </w:r>
      <w:r w:rsidR="00EE7346" w:rsidRPr="00F32DA4">
        <w:rPr>
          <w:rFonts w:ascii="Arial" w:hAnsi="Arial" w:cs="Arial"/>
          <w:sz w:val="22"/>
          <w:szCs w:val="22"/>
        </w:rPr>
        <w:t xml:space="preserve">control how and where they live.  </w:t>
      </w:r>
    </w:p>
    <w:p w:rsidR="00EE7346" w:rsidRDefault="00EE7346" w:rsidP="00AA246E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A246E">
        <w:rPr>
          <w:rFonts w:ascii="Arial" w:hAnsi="Arial" w:cs="Arial"/>
          <w:bCs/>
          <w:spacing w:val="-3"/>
          <w:sz w:val="22"/>
          <w:szCs w:val="22"/>
        </w:rPr>
        <w:t>The Taskforce</w:t>
      </w:r>
      <w:r w:rsidR="00AA246E">
        <w:rPr>
          <w:rFonts w:ascii="Arial" w:hAnsi="Arial" w:cs="Arial"/>
          <w:bCs/>
          <w:spacing w:val="-3"/>
          <w:sz w:val="22"/>
          <w:szCs w:val="22"/>
        </w:rPr>
        <w:t>,</w:t>
      </w:r>
      <w:r w:rsidRPr="00AA246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A246E" w:rsidRPr="00AA246E">
        <w:rPr>
          <w:rFonts w:ascii="Arial" w:hAnsi="Arial" w:cs="Arial"/>
          <w:sz w:val="22"/>
          <w:szCs w:val="22"/>
        </w:rPr>
        <w:t>under the Chairmanship of Professor Laurie Buys</w:t>
      </w:r>
      <w:r w:rsidR="00AA246E">
        <w:rPr>
          <w:rFonts w:ascii="Arial" w:hAnsi="Arial" w:cs="Arial"/>
          <w:sz w:val="22"/>
          <w:szCs w:val="22"/>
        </w:rPr>
        <w:t xml:space="preserve">, undertook </w:t>
      </w:r>
      <w:r w:rsidR="00AA246E" w:rsidRPr="00AA246E">
        <w:rPr>
          <w:rFonts w:ascii="Arial" w:hAnsi="Arial" w:cs="Arial"/>
          <w:sz w:val="22"/>
          <w:szCs w:val="22"/>
        </w:rPr>
        <w:t xml:space="preserve">community and industry consultation and deliberation </w:t>
      </w:r>
      <w:r w:rsidR="002B53E9">
        <w:rPr>
          <w:rFonts w:ascii="Arial" w:hAnsi="Arial" w:cs="Arial"/>
          <w:sz w:val="22"/>
          <w:szCs w:val="22"/>
        </w:rPr>
        <w:t>from</w:t>
      </w:r>
      <w:r w:rsidR="00AA246E" w:rsidRPr="00AA246E">
        <w:rPr>
          <w:rFonts w:ascii="Arial" w:hAnsi="Arial" w:cs="Arial"/>
          <w:sz w:val="22"/>
          <w:szCs w:val="22"/>
        </w:rPr>
        <w:t xml:space="preserve"> October 2015 to August 2016.</w:t>
      </w:r>
      <w:r w:rsidR="00AA246E" w:rsidRPr="00AA246E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C70C76" w:rsidRPr="00AA246E" w:rsidRDefault="00C70C76" w:rsidP="00AC4D53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Taskforce report</w:t>
      </w:r>
      <w:r w:rsidR="00AC4D5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C4D53" w:rsidRPr="00AC4D53">
        <w:rPr>
          <w:rFonts w:ascii="Arial" w:hAnsi="Arial" w:cs="Arial"/>
          <w:bCs/>
          <w:spacing w:val="-3"/>
          <w:sz w:val="22"/>
          <w:szCs w:val="22"/>
        </w:rPr>
        <w:t xml:space="preserve">includes a total of </w:t>
      </w:r>
      <w:r w:rsidR="000B472D">
        <w:rPr>
          <w:rFonts w:ascii="Arial" w:hAnsi="Arial" w:cs="Arial"/>
          <w:bCs/>
          <w:spacing w:val="-3"/>
          <w:sz w:val="22"/>
          <w:szCs w:val="22"/>
        </w:rPr>
        <w:t>21</w:t>
      </w:r>
      <w:r w:rsidR="00AC4D53" w:rsidRPr="00AC4D53">
        <w:rPr>
          <w:rFonts w:ascii="Arial" w:hAnsi="Arial" w:cs="Arial"/>
          <w:bCs/>
          <w:spacing w:val="-3"/>
          <w:sz w:val="22"/>
          <w:szCs w:val="22"/>
        </w:rPr>
        <w:t xml:space="preserve"> recommendations</w:t>
      </w:r>
      <w:r w:rsidR="00AC4D53">
        <w:rPr>
          <w:rFonts w:ascii="Arial" w:hAnsi="Arial" w:cs="Arial"/>
          <w:bCs/>
          <w:spacing w:val="-3"/>
          <w:sz w:val="22"/>
          <w:szCs w:val="22"/>
        </w:rPr>
        <w:t xml:space="preserve"> and </w:t>
      </w:r>
      <w:r>
        <w:rPr>
          <w:rFonts w:ascii="Arial" w:hAnsi="Arial" w:cs="Arial"/>
          <w:bCs/>
          <w:spacing w:val="-3"/>
          <w:sz w:val="22"/>
          <w:szCs w:val="22"/>
        </w:rPr>
        <w:t>outlines the relevance of: individual resilience; home resilience; suitable housing options; and suitable local community services.</w:t>
      </w:r>
      <w:r w:rsidR="00B21D79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EE7346" w:rsidRPr="00542E6C" w:rsidRDefault="00AC4D53" w:rsidP="00EE7346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EE7346" w:rsidRPr="00F32DA4">
        <w:rPr>
          <w:rFonts w:ascii="Arial" w:hAnsi="Arial" w:cs="Arial"/>
          <w:bCs/>
          <w:spacing w:val="-3"/>
          <w:sz w:val="22"/>
          <w:szCs w:val="22"/>
        </w:rPr>
        <w:t>he</w:t>
      </w:r>
      <w:r w:rsidR="00AA246E">
        <w:rPr>
          <w:rFonts w:ascii="Arial" w:hAnsi="Arial" w:cs="Arial"/>
          <w:bCs/>
          <w:spacing w:val="-3"/>
          <w:sz w:val="22"/>
          <w:szCs w:val="22"/>
        </w:rPr>
        <w:t xml:space="preserve"> Taskforce</w:t>
      </w:r>
      <w:r w:rsidR="00EE7346" w:rsidRPr="00F32DA4">
        <w:rPr>
          <w:rFonts w:ascii="Arial" w:hAnsi="Arial" w:cs="Arial"/>
          <w:bCs/>
          <w:spacing w:val="-3"/>
          <w:sz w:val="22"/>
          <w:szCs w:val="22"/>
        </w:rPr>
        <w:t xml:space="preserve"> recommendations encompass the following action areas: </w:t>
      </w:r>
      <w:r w:rsidR="00EE7346" w:rsidRPr="00F32DA4">
        <w:rPr>
          <w:rFonts w:ascii="Arial" w:hAnsi="Arial" w:cs="Arial"/>
          <w:sz w:val="22"/>
          <w:szCs w:val="22"/>
        </w:rPr>
        <w:t>assist</w:t>
      </w:r>
      <w:r w:rsidR="00EE7346">
        <w:rPr>
          <w:rFonts w:ascii="Arial" w:hAnsi="Arial" w:cs="Arial"/>
          <w:sz w:val="22"/>
          <w:szCs w:val="22"/>
        </w:rPr>
        <w:t>i</w:t>
      </w:r>
      <w:r w:rsidR="00EE7346" w:rsidRPr="00F32DA4">
        <w:rPr>
          <w:rFonts w:ascii="Arial" w:hAnsi="Arial" w:cs="Arial"/>
          <w:sz w:val="22"/>
          <w:szCs w:val="22"/>
        </w:rPr>
        <w:t xml:space="preserve">ng vulnerable older people to access and maintain appropriate housing; providing greater security of tenure for older people in private rental housing; supporting individuals to plan for their housing future and to transition to appropriate housing when needed; and improving the variety, diversity and supply of housing, appropriate community services and financial options to enable housing choices. </w:t>
      </w:r>
    </w:p>
    <w:p w:rsidR="00542E6C" w:rsidRPr="00542E6C" w:rsidRDefault="00542E6C" w:rsidP="00542E6C">
      <w:pPr>
        <w:numPr>
          <w:ilvl w:val="0"/>
          <w:numId w:val="1"/>
        </w:numPr>
        <w:spacing w:before="240"/>
        <w:jc w:val="both"/>
        <w:rPr>
          <w:rFonts w:ascii="Tahoma" w:eastAsia="Calibri" w:hAnsi="Tahoma" w:cs="Tahoma"/>
          <w:color w:val="auto"/>
          <w:sz w:val="20"/>
        </w:rPr>
      </w:pPr>
      <w:r w:rsidRPr="00542E6C">
        <w:rPr>
          <w:rFonts w:ascii="Arial" w:hAnsi="Arial" w:cs="Arial"/>
          <w:bCs/>
          <w:spacing w:val="-3"/>
          <w:sz w:val="22"/>
          <w:szCs w:val="22"/>
        </w:rPr>
        <w:t>The</w:t>
      </w:r>
      <w:r>
        <w:rPr>
          <w:rFonts w:ascii="ArialMT" w:eastAsia="Calibri" w:hAnsi="ArialMT" w:cs="ArialMT"/>
          <w:color w:val="auto"/>
          <w:sz w:val="22"/>
          <w:szCs w:val="22"/>
        </w:rPr>
        <w:t xml:space="preserve"> Queensland Government has considered the recommendations in the report and </w:t>
      </w:r>
      <w:r w:rsidR="004D2CD9">
        <w:rPr>
          <w:rFonts w:ascii="Tahoma" w:eastAsia="Calibri" w:hAnsi="Tahoma" w:cs="Tahoma"/>
          <w:sz w:val="21"/>
          <w:szCs w:val="21"/>
        </w:rPr>
        <w:t xml:space="preserve">18 </w:t>
      </w:r>
      <w:r>
        <w:rPr>
          <w:rFonts w:ascii="Tahoma" w:eastAsia="Calibri" w:hAnsi="Tahoma" w:cs="Tahoma"/>
          <w:sz w:val="21"/>
          <w:szCs w:val="21"/>
        </w:rPr>
        <w:t xml:space="preserve">recommendations are fully supported and </w:t>
      </w:r>
      <w:r w:rsidR="004D2CD9">
        <w:rPr>
          <w:rFonts w:ascii="Tahoma" w:eastAsia="Calibri" w:hAnsi="Tahoma" w:cs="Tahoma"/>
          <w:sz w:val="21"/>
          <w:szCs w:val="21"/>
        </w:rPr>
        <w:t xml:space="preserve">three </w:t>
      </w:r>
      <w:r>
        <w:rPr>
          <w:rFonts w:ascii="Tahoma" w:eastAsia="Calibri" w:hAnsi="Tahoma" w:cs="Tahoma"/>
          <w:sz w:val="21"/>
          <w:szCs w:val="21"/>
        </w:rPr>
        <w:t>are supported in-principle.</w:t>
      </w:r>
    </w:p>
    <w:p w:rsidR="00423C64" w:rsidRPr="00423C64" w:rsidRDefault="00EE7346" w:rsidP="00423C64">
      <w:pPr>
        <w:numPr>
          <w:ilvl w:val="0"/>
          <w:numId w:val="1"/>
        </w:numPr>
        <w:spacing w:before="240"/>
        <w:jc w:val="both"/>
        <w:rPr>
          <w:rFonts w:ascii="Arial" w:eastAsia="Calibri" w:hAnsi="Arial" w:cs="Arial"/>
          <w:sz w:val="21"/>
          <w:szCs w:val="21"/>
        </w:rPr>
      </w:pPr>
      <w:r w:rsidRPr="00423C64">
        <w:rPr>
          <w:rFonts w:ascii="Arial" w:hAnsi="Arial" w:cs="Arial"/>
          <w:sz w:val="22"/>
          <w:szCs w:val="22"/>
          <w:u w:val="single"/>
        </w:rPr>
        <w:t xml:space="preserve">Cabinet </w:t>
      </w:r>
      <w:r w:rsidR="00697079" w:rsidRPr="00423C64">
        <w:rPr>
          <w:rFonts w:ascii="Arial" w:hAnsi="Arial" w:cs="Arial"/>
          <w:sz w:val="22"/>
          <w:szCs w:val="22"/>
          <w:u w:val="single"/>
        </w:rPr>
        <w:t>approved</w:t>
      </w:r>
      <w:r w:rsidR="00697079" w:rsidRPr="00423C64">
        <w:rPr>
          <w:rFonts w:ascii="Arial" w:hAnsi="Arial" w:cs="Arial"/>
          <w:sz w:val="22"/>
          <w:szCs w:val="22"/>
        </w:rPr>
        <w:t xml:space="preserve"> </w:t>
      </w:r>
      <w:r w:rsidR="00423C64" w:rsidRPr="00423C64">
        <w:rPr>
          <w:rFonts w:ascii="Arial" w:eastAsia="Calibri" w:hAnsi="Arial" w:cs="Arial"/>
          <w:sz w:val="20"/>
        </w:rPr>
        <w:t xml:space="preserve">the </w:t>
      </w:r>
      <w:r w:rsidR="00423C64" w:rsidRPr="00423C64">
        <w:rPr>
          <w:rFonts w:ascii="Arial" w:eastAsia="Calibri" w:hAnsi="Arial" w:cs="Arial"/>
          <w:sz w:val="21"/>
          <w:szCs w:val="21"/>
        </w:rPr>
        <w:t xml:space="preserve">release of the </w:t>
      </w:r>
      <w:r w:rsidR="00423C64" w:rsidRPr="00423C64">
        <w:rPr>
          <w:rFonts w:ascii="Arial" w:eastAsia="Calibri" w:hAnsi="Arial" w:cs="Arial"/>
          <w:i/>
          <w:sz w:val="21"/>
          <w:szCs w:val="21"/>
        </w:rPr>
        <w:t>Residential Transition for Older Queenslanders, August 2016 - Final report of the Advisory Taskforce on Residential Transition for Ageing Queenslanders</w:t>
      </w:r>
      <w:r w:rsidR="00423C64" w:rsidRPr="00423C64">
        <w:rPr>
          <w:rFonts w:ascii="Arial" w:eastAsia="Calibri" w:hAnsi="Arial" w:cs="Arial"/>
          <w:sz w:val="21"/>
          <w:szCs w:val="21"/>
        </w:rPr>
        <w:t>.</w:t>
      </w:r>
    </w:p>
    <w:p w:rsidR="00EE7346" w:rsidRPr="00423C64" w:rsidRDefault="00423C64" w:rsidP="00423C64">
      <w:pPr>
        <w:numPr>
          <w:ilvl w:val="0"/>
          <w:numId w:val="1"/>
        </w:numPr>
        <w:spacing w:before="240"/>
        <w:jc w:val="both"/>
        <w:rPr>
          <w:rFonts w:ascii="Arial" w:eastAsia="Calibri" w:hAnsi="Arial" w:cs="Arial"/>
          <w:sz w:val="21"/>
          <w:szCs w:val="21"/>
        </w:rPr>
      </w:pPr>
      <w:r w:rsidRPr="00423C64">
        <w:rPr>
          <w:rFonts w:ascii="Arial" w:eastAsia="Calibri" w:hAnsi="Arial" w:cs="Arial"/>
          <w:sz w:val="21"/>
          <w:szCs w:val="21"/>
          <w:u w:val="single"/>
        </w:rPr>
        <w:t>Cabinet approved</w:t>
      </w:r>
      <w:r w:rsidRPr="00423C64">
        <w:rPr>
          <w:rFonts w:ascii="Arial" w:eastAsia="Calibri" w:hAnsi="Arial" w:cs="Arial"/>
          <w:sz w:val="21"/>
          <w:szCs w:val="21"/>
        </w:rPr>
        <w:t xml:space="preserve"> the Queensland Government response to the Report and release of the </w:t>
      </w:r>
      <w:r w:rsidRPr="00423C64">
        <w:rPr>
          <w:rFonts w:ascii="Arial" w:eastAsia="Calibri" w:hAnsi="Arial" w:cs="Arial"/>
          <w:i/>
          <w:sz w:val="21"/>
          <w:szCs w:val="21"/>
        </w:rPr>
        <w:t>Queensland Housing Strategy</w:t>
      </w:r>
      <w:r w:rsidRPr="00423C64">
        <w:rPr>
          <w:rFonts w:ascii="Arial" w:eastAsia="Calibri" w:hAnsi="Arial" w:cs="Arial"/>
          <w:sz w:val="21"/>
          <w:szCs w:val="21"/>
        </w:rPr>
        <w:t>.</w:t>
      </w:r>
    </w:p>
    <w:p w:rsidR="00EE7346" w:rsidRPr="00C07656" w:rsidRDefault="00EE7346" w:rsidP="00984631">
      <w:pPr>
        <w:keepNext/>
        <w:numPr>
          <w:ilvl w:val="0"/>
          <w:numId w:val="1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EE7346" w:rsidRPr="00542E6C" w:rsidRDefault="00F5733F" w:rsidP="0030286E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5975E4" w:rsidRPr="00CE6EC3">
          <w:rPr>
            <w:rStyle w:val="Hyperlink"/>
            <w:rFonts w:ascii="Arial" w:hAnsi="Arial" w:cs="Arial"/>
            <w:i/>
            <w:sz w:val="22"/>
            <w:szCs w:val="22"/>
          </w:rPr>
          <w:t>Residential Transition for Older Queenslanders, August 2016 - Final report of the Advisory Taskforce on Residential Transition for Ageing Queenslanders</w:t>
        </w:r>
      </w:hyperlink>
    </w:p>
    <w:p w:rsidR="00542E6C" w:rsidRPr="00542E6C" w:rsidRDefault="00F5733F" w:rsidP="0030286E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542E6C" w:rsidRPr="00CE6EC3">
          <w:rPr>
            <w:rStyle w:val="Hyperlink"/>
            <w:rFonts w:ascii="Arial" w:hAnsi="Arial" w:cs="Arial"/>
            <w:sz w:val="22"/>
            <w:szCs w:val="22"/>
          </w:rPr>
          <w:t xml:space="preserve">Queensland Government response to the </w:t>
        </w:r>
        <w:r w:rsidR="00542E6C" w:rsidRPr="00CE6EC3">
          <w:rPr>
            <w:rStyle w:val="Hyperlink"/>
            <w:rFonts w:ascii="Arial" w:hAnsi="Arial" w:cs="Arial"/>
            <w:i/>
            <w:sz w:val="22"/>
            <w:szCs w:val="22"/>
          </w:rPr>
          <w:t>Residential Transition for Older Queenslanders, August 2016 - Final report of the Advisory Taskforce on Residential Transition for Ageing Queenslanders</w:t>
        </w:r>
      </w:hyperlink>
    </w:p>
    <w:p w:rsidR="00EE7346" w:rsidRPr="0030286E" w:rsidRDefault="00F5733F" w:rsidP="0030286E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542E6C" w:rsidRPr="00CE6EC3">
          <w:rPr>
            <w:rStyle w:val="Hyperlink"/>
            <w:rFonts w:ascii="Arial" w:hAnsi="Arial" w:cs="Arial"/>
            <w:i/>
            <w:sz w:val="22"/>
            <w:szCs w:val="22"/>
          </w:rPr>
          <w:t xml:space="preserve">The </w:t>
        </w:r>
        <w:r w:rsidR="006E0633" w:rsidRPr="00CE6EC3">
          <w:rPr>
            <w:rStyle w:val="Hyperlink"/>
            <w:rFonts w:ascii="Arial" w:hAnsi="Arial" w:cs="Arial"/>
            <w:i/>
            <w:sz w:val="22"/>
            <w:szCs w:val="22"/>
          </w:rPr>
          <w:t xml:space="preserve">Queensland </w:t>
        </w:r>
        <w:r w:rsidR="00542E6C" w:rsidRPr="00CE6EC3">
          <w:rPr>
            <w:rStyle w:val="Hyperlink"/>
            <w:rFonts w:ascii="Arial" w:hAnsi="Arial" w:cs="Arial"/>
            <w:i/>
            <w:sz w:val="22"/>
            <w:szCs w:val="22"/>
          </w:rPr>
          <w:t>Housing Strategy</w:t>
        </w:r>
      </w:hyperlink>
    </w:p>
    <w:sectPr w:rsidR="00EE7346" w:rsidRPr="0030286E" w:rsidSect="00432EAC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D92" w:rsidRDefault="00B95D92" w:rsidP="00D6589B">
      <w:r>
        <w:separator/>
      </w:r>
    </w:p>
  </w:endnote>
  <w:endnote w:type="continuationSeparator" w:id="0">
    <w:p w:rsidR="00B95D92" w:rsidRDefault="00B95D92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D92" w:rsidRDefault="00B95D92" w:rsidP="00D6589B">
      <w:r>
        <w:separator/>
      </w:r>
    </w:p>
  </w:footnote>
  <w:footnote w:type="continuationSeparator" w:id="0">
    <w:p w:rsidR="00B95D92" w:rsidRDefault="00B95D92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0B472D">
      <w:rPr>
        <w:rFonts w:ascii="Arial" w:hAnsi="Arial" w:cs="Arial"/>
        <w:b/>
        <w:color w:val="auto"/>
        <w:sz w:val="22"/>
        <w:szCs w:val="22"/>
        <w:lang w:eastAsia="en-US"/>
      </w:rPr>
      <w:t>February 2017</w:t>
    </w:r>
  </w:p>
  <w:p w:rsidR="00C8658A" w:rsidRDefault="00C8658A" w:rsidP="00984631">
    <w:pPr>
      <w:keepLines/>
      <w:spacing w:before="120"/>
      <w:rPr>
        <w:rFonts w:ascii="Arial" w:hAnsi="Arial" w:cs="Arial"/>
        <w:b/>
        <w:sz w:val="22"/>
        <w:szCs w:val="22"/>
        <w:u w:val="single"/>
      </w:rPr>
    </w:pPr>
    <w:r w:rsidRPr="00C8658A">
      <w:rPr>
        <w:rFonts w:ascii="Arial" w:hAnsi="Arial" w:cs="Arial"/>
        <w:b/>
        <w:sz w:val="22"/>
        <w:szCs w:val="22"/>
        <w:u w:val="single"/>
      </w:rPr>
      <w:t>Queensland Government response to</w:t>
    </w:r>
    <w:r w:rsidR="000E1DBB">
      <w:rPr>
        <w:rFonts w:ascii="Arial" w:hAnsi="Arial" w:cs="Arial"/>
        <w:b/>
        <w:sz w:val="22"/>
        <w:szCs w:val="22"/>
        <w:u w:val="single"/>
      </w:rPr>
      <w:t xml:space="preserve"> the</w:t>
    </w:r>
    <w:r w:rsidRPr="00C8658A">
      <w:rPr>
        <w:rFonts w:ascii="Arial" w:hAnsi="Arial" w:cs="Arial"/>
        <w:b/>
        <w:sz w:val="22"/>
        <w:szCs w:val="22"/>
        <w:u w:val="single"/>
      </w:rPr>
      <w:t xml:space="preserve"> </w:t>
    </w:r>
    <w:r w:rsidRPr="000E1DBB">
      <w:rPr>
        <w:rFonts w:ascii="Arial" w:hAnsi="Arial" w:cs="Arial"/>
        <w:b/>
        <w:i/>
        <w:sz w:val="22"/>
        <w:szCs w:val="22"/>
        <w:u w:val="single"/>
      </w:rPr>
      <w:t>Residential Transition for Older Queenslanders, August 2016 - Final report of the Advisory Taskforce on Residential Transition for Ageing Queenslanders</w:t>
    </w:r>
    <w:r w:rsidRPr="00C8658A">
      <w:rPr>
        <w:rFonts w:ascii="Arial" w:hAnsi="Arial" w:cs="Arial"/>
        <w:b/>
        <w:sz w:val="22"/>
        <w:szCs w:val="22"/>
        <w:u w:val="single"/>
      </w:rPr>
      <w:t>.</w:t>
    </w:r>
  </w:p>
  <w:p w:rsidR="008A512F" w:rsidRPr="008A512F" w:rsidRDefault="008A512F" w:rsidP="00984631">
    <w:pPr>
      <w:keepLines/>
      <w:spacing w:before="120"/>
      <w:rPr>
        <w:rFonts w:ascii="Arial" w:hAnsi="Arial" w:cs="Arial"/>
        <w:b/>
        <w:sz w:val="22"/>
        <w:szCs w:val="22"/>
        <w:u w:val="single"/>
      </w:rPr>
    </w:pPr>
    <w:r w:rsidRPr="008A512F"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DD54B0" w:rsidRPr="00DD54B0">
      <w:rPr>
        <w:rFonts w:ascii="Arial" w:hAnsi="Arial" w:cs="Arial"/>
        <w:b/>
        <w:sz w:val="22"/>
        <w:szCs w:val="22"/>
        <w:u w:val="single"/>
      </w:rPr>
      <w:t>Minister for Disability Services, Minister for Seniors and Minister Assisting the Premier on North Queensland</w:t>
    </w:r>
    <w:r w:rsidR="00DD54B0">
      <w:rPr>
        <w:rFonts w:ascii="Arial" w:hAnsi="Arial" w:cs="Arial"/>
        <w:b/>
        <w:sz w:val="22"/>
        <w:szCs w:val="22"/>
        <w:u w:val="single"/>
      </w:rPr>
      <w:t xml:space="preserve"> 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53A6"/>
    <w:multiLevelType w:val="hybridMultilevel"/>
    <w:tmpl w:val="B4EEA75A"/>
    <w:lvl w:ilvl="0" w:tplc="0C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75785396"/>
    <w:multiLevelType w:val="hybridMultilevel"/>
    <w:tmpl w:val="81D2D6C4"/>
    <w:lvl w:ilvl="0" w:tplc="984E8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E0"/>
    <w:rsid w:val="00015ED4"/>
    <w:rsid w:val="00080B35"/>
    <w:rsid w:val="00080F8F"/>
    <w:rsid w:val="000A26C3"/>
    <w:rsid w:val="000B27E6"/>
    <w:rsid w:val="000B472D"/>
    <w:rsid w:val="000E1DBB"/>
    <w:rsid w:val="000F6A31"/>
    <w:rsid w:val="0010384C"/>
    <w:rsid w:val="001326BD"/>
    <w:rsid w:val="00154664"/>
    <w:rsid w:val="0017128F"/>
    <w:rsid w:val="00174117"/>
    <w:rsid w:val="00272306"/>
    <w:rsid w:val="002B53E9"/>
    <w:rsid w:val="002F50C3"/>
    <w:rsid w:val="0030286E"/>
    <w:rsid w:val="003200F3"/>
    <w:rsid w:val="003A3BDD"/>
    <w:rsid w:val="003A5295"/>
    <w:rsid w:val="003B346E"/>
    <w:rsid w:val="00420BA0"/>
    <w:rsid w:val="00420DB0"/>
    <w:rsid w:val="00423C64"/>
    <w:rsid w:val="00432EAC"/>
    <w:rsid w:val="0049657C"/>
    <w:rsid w:val="004D2CD9"/>
    <w:rsid w:val="00501C66"/>
    <w:rsid w:val="00507547"/>
    <w:rsid w:val="0052050C"/>
    <w:rsid w:val="00541165"/>
    <w:rsid w:val="00542E6C"/>
    <w:rsid w:val="00543E80"/>
    <w:rsid w:val="00550873"/>
    <w:rsid w:val="00566678"/>
    <w:rsid w:val="005975E4"/>
    <w:rsid w:val="005F75CF"/>
    <w:rsid w:val="00614572"/>
    <w:rsid w:val="00697079"/>
    <w:rsid w:val="006C22D7"/>
    <w:rsid w:val="006E0633"/>
    <w:rsid w:val="007265D0"/>
    <w:rsid w:val="00726AFF"/>
    <w:rsid w:val="00732E22"/>
    <w:rsid w:val="00741C20"/>
    <w:rsid w:val="00743F5D"/>
    <w:rsid w:val="007F44F4"/>
    <w:rsid w:val="00883BC2"/>
    <w:rsid w:val="008A512F"/>
    <w:rsid w:val="008C6C3D"/>
    <w:rsid w:val="008F57FA"/>
    <w:rsid w:val="00901387"/>
    <w:rsid w:val="00904077"/>
    <w:rsid w:val="00937A4A"/>
    <w:rsid w:val="00974A99"/>
    <w:rsid w:val="00984631"/>
    <w:rsid w:val="00A6330E"/>
    <w:rsid w:val="00A852B3"/>
    <w:rsid w:val="00A903BF"/>
    <w:rsid w:val="00AA246E"/>
    <w:rsid w:val="00AA4DE7"/>
    <w:rsid w:val="00AC4D53"/>
    <w:rsid w:val="00B21D79"/>
    <w:rsid w:val="00B273DD"/>
    <w:rsid w:val="00B95D92"/>
    <w:rsid w:val="00BD2276"/>
    <w:rsid w:val="00C70C76"/>
    <w:rsid w:val="00C75E67"/>
    <w:rsid w:val="00C778C2"/>
    <w:rsid w:val="00C8658A"/>
    <w:rsid w:val="00CB1501"/>
    <w:rsid w:val="00CD7A50"/>
    <w:rsid w:val="00CE6EC3"/>
    <w:rsid w:val="00CF0D8A"/>
    <w:rsid w:val="00D50BD9"/>
    <w:rsid w:val="00D543A6"/>
    <w:rsid w:val="00D6589B"/>
    <w:rsid w:val="00DD3B06"/>
    <w:rsid w:val="00DD54B0"/>
    <w:rsid w:val="00E07E5B"/>
    <w:rsid w:val="00E369F4"/>
    <w:rsid w:val="00EA0C2E"/>
    <w:rsid w:val="00ED5CE9"/>
    <w:rsid w:val="00EE7346"/>
    <w:rsid w:val="00F45B99"/>
    <w:rsid w:val="00F5733F"/>
    <w:rsid w:val="00F77CE0"/>
    <w:rsid w:val="00F82003"/>
    <w:rsid w:val="00FD70FA"/>
    <w:rsid w:val="00FE26F0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43F5D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A512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512F"/>
    <w:rPr>
      <w:rFonts w:ascii="Times New Roman" w:eastAsia="Times New Roman" w:hAnsi="Times New Roman"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8A512F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974A99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E6E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6E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esponse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Repor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Strategy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21</TotalTime>
  <Pages>1</Pages>
  <Words>298</Words>
  <Characters>1863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2158</CharactersWithSpaces>
  <SharedDoc>false</SharedDoc>
  <HyperlinkBase>https://www.cabinet.qld.gov.au/documents/2017/Feb/ResTra/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8</cp:revision>
  <cp:lastPrinted>2017-02-02T07:25:00Z</cp:lastPrinted>
  <dcterms:created xsi:type="dcterms:W3CDTF">2018-02-16T06:40:00Z</dcterms:created>
  <dcterms:modified xsi:type="dcterms:W3CDTF">2018-05-24T07:16:00Z</dcterms:modified>
  <cp:category>Housing,Seniors</cp:category>
</cp:coreProperties>
</file>